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ahoma" w:cs="Tahoma" w:eastAsia="Tahoma" w:hAnsi="Tahoma"/>
          <w:b w:val="1"/>
          <w:color w:val="3366ff"/>
          <w:sz w:val="44"/>
          <w:szCs w:val="44"/>
          <w:u w:val="single"/>
          <w:vertAlign w:val="baseline"/>
          <w:rtl w:val="0"/>
        </w:rPr>
        <w:t xml:space="preserve">Bases Liga Comarcal de Tenis de Gondomar 2016.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32"/>
          <w:szCs w:val="32"/>
          <w:vertAlign w:val="baseline"/>
          <w:rtl w:val="0"/>
        </w:rPr>
        <w:t xml:space="preserve">Inscripción: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32"/>
          <w:szCs w:val="32"/>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La Liga no es Federada y está abierta para cualquier jugador sin tener en cuenta su edad y sexo.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La  inscripción será de </w:t>
      </w:r>
      <w:r w:rsidDel="00000000" w:rsidR="00000000" w:rsidRPr="00000000">
        <w:rPr>
          <w:b w:val="1"/>
          <w:vertAlign w:val="baseline"/>
          <w:rtl w:val="0"/>
        </w:rPr>
        <w:t xml:space="preserve">10€</w:t>
      </w:r>
      <w:r w:rsidDel="00000000" w:rsidR="00000000" w:rsidRPr="00000000">
        <w:rPr>
          <w:vertAlign w:val="baseline"/>
          <w:rtl w:val="0"/>
        </w:rPr>
        <w:t xml:space="preserve">  que se abonará  por pago on-line en la plataforma  </w:t>
      </w:r>
      <w:hyperlink r:id="rId5">
        <w:r w:rsidDel="00000000" w:rsidR="00000000" w:rsidRPr="00000000">
          <w:rPr>
            <w:color w:val="0000ff"/>
            <w:u w:val="single"/>
            <w:vertAlign w:val="baseline"/>
            <w:rtl w:val="0"/>
          </w:rPr>
          <w:t xml:space="preserve">www.ibertenis.com</w:t>
        </w:r>
      </w:hyperlink>
      <w:r w:rsidDel="00000000" w:rsidR="00000000" w:rsidRPr="00000000">
        <w:rPr>
          <w:vertAlign w:val="baseline"/>
          <w:rtl w:val="0"/>
        </w:rPr>
        <w:t xml:space="preserve">  , en el apartado Ligas Tenis – Liga Comarcal de Tenis de Gondomar 2016.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O por trasferencia bancaria a la cuenta Nº:</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 ES19 2080 5075 1530 4004 0397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u w:val="single"/>
          <w:vertAlign w:val="baseline"/>
          <w:rtl w:val="0"/>
        </w:rPr>
        <w:t xml:space="preserve">Datos necesarios</w:t>
      </w:r>
      <w:r w:rsidDel="00000000" w:rsidR="00000000" w:rsidRPr="00000000">
        <w:rPr>
          <w:vertAlign w:val="baseline"/>
          <w:rtl w:val="0"/>
        </w:rPr>
        <w:t xml:space="preserve">:</w:t>
      </w:r>
    </w:p>
    <w:p w:rsidR="00000000" w:rsidDel="00000000" w:rsidP="00000000" w:rsidRDefault="00000000" w:rsidRPr="00000000">
      <w:pPr>
        <w:contextualSpacing w:val="0"/>
        <w:jc w:val="both"/>
      </w:pPr>
      <w:r w:rsidDel="00000000" w:rsidR="00000000" w:rsidRPr="00000000">
        <w:rPr>
          <w:vertAlign w:val="baseline"/>
          <w:rtl w:val="0"/>
        </w:rPr>
        <w:t xml:space="preserve">Los datos necesarios para la inscripci</w:t>
      </w:r>
      <w:r w:rsidDel="00000000" w:rsidR="00000000" w:rsidRPr="00000000">
        <w:rPr>
          <w:rtl w:val="0"/>
        </w:rPr>
        <w:t xml:space="preserve">ón en la liga son:</w:t>
      </w:r>
      <w:r w:rsidDel="00000000" w:rsidR="00000000" w:rsidRPr="00000000">
        <w:rPr>
          <w:vertAlign w:val="baseline"/>
          <w:rtl w:val="0"/>
        </w:rPr>
        <w:t xml:space="preserve"> </w:t>
      </w:r>
      <w:r w:rsidDel="00000000" w:rsidR="00000000" w:rsidRPr="00000000">
        <w:rPr>
          <w:b w:val="1"/>
          <w:vertAlign w:val="baseline"/>
          <w:rtl w:val="0"/>
        </w:rPr>
        <w:t xml:space="preserve">Nombre y apellidos, E-mail y número de teléfono</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32"/>
          <w:szCs w:val="32"/>
          <w:vertAlign w:val="baseline"/>
          <w:rtl w:val="0"/>
        </w:rPr>
        <w:t xml:space="preserve">Contactos: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Juan Freitas</w:t>
      </w:r>
    </w:p>
    <w:p w:rsidR="00000000" w:rsidDel="00000000" w:rsidP="00000000" w:rsidRDefault="00000000" w:rsidRPr="00000000">
      <w:pPr>
        <w:contextualSpacing w:val="0"/>
        <w:jc w:val="both"/>
      </w:pPr>
      <w:r w:rsidDel="00000000" w:rsidR="00000000" w:rsidRPr="00000000">
        <w:rPr>
          <w:rtl w:val="0"/>
        </w:rPr>
        <w:t xml:space="preserve">Director del Club de Tenis Gondomar: Tlfo: 680 124 239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Fernando Rodríguez: Tlfo: 608 454 487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Ibertenis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8"/>
          <w:szCs w:val="28"/>
          <w:vertAlign w:val="baseline"/>
          <w:rtl w:val="0"/>
        </w:rPr>
        <w:t xml:space="preserve">Objetivo: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La Liga será una competición de tenis de ámbito local de Gondomar y alrededores.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En función del número de inscritos se repartirán en niveles de juego si la Organización lo estima oportuno.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Sus principales fines son fomentar, desarrollar y facilitar la práctica del tenis entre los aficionados y practicantes al mismo, y se fundamenta en los principios de convivencia, deportividad y respeto mutuo entre todos los jugadores y los organizadores.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8"/>
          <w:szCs w:val="28"/>
          <w:vertAlign w:val="baseline"/>
          <w:rtl w:val="0"/>
        </w:rPr>
        <w:t xml:space="preserve">Funcionamiento: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La Liga constará de varios Grupos, de entre cinco o seis jugadores en cada uno. Los jugadores no tendrán limitación de edad y podrán ser de ambos sexos.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Se jugarán en Fases de dos meses de duración.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La primera Fase será creada por sorteo.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El 30 de Noviembre de 2016 será la fecha de finalización de la liga. Esta fecha puede estar condicionada al número de participantes de la liga por lo que puede sufrir variaciones.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8"/>
          <w:szCs w:val="28"/>
          <w:vertAlign w:val="baseline"/>
          <w:rtl w:val="0"/>
        </w:rPr>
        <w:t xml:space="preserve">Puntuación: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2 Punto por partido ganado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1 Punto por partido perdido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 Punto por set ganado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vertAlign w:val="baseline"/>
          <w:rtl w:val="0"/>
        </w:rPr>
        <w:t xml:space="preserve">Ascensos y descensos</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80" w:hanging="360"/>
        <w:rPr>
          <w:b w:val="0"/>
          <w:sz w:val="24"/>
          <w:szCs w:val="24"/>
        </w:rPr>
      </w:pPr>
      <w:r w:rsidDel="00000000" w:rsidR="00000000" w:rsidRPr="00000000">
        <w:rPr>
          <w:vertAlign w:val="baseline"/>
          <w:rtl w:val="0"/>
        </w:rPr>
        <w:t xml:space="preserve">Asciende dos grupos el jugador que tenga más puntos en cada Fase.</w:t>
      </w:r>
      <w:r w:rsidDel="00000000" w:rsidR="00000000" w:rsidRPr="00000000">
        <w:rPr>
          <w:rtl w:val="0"/>
        </w:rPr>
      </w:r>
    </w:p>
    <w:p w:rsidR="00000000" w:rsidDel="00000000" w:rsidP="00000000" w:rsidRDefault="00000000" w:rsidRPr="00000000">
      <w:pPr>
        <w:numPr>
          <w:ilvl w:val="0"/>
          <w:numId w:val="1"/>
        </w:numPr>
        <w:ind w:left="780" w:hanging="360"/>
        <w:rPr>
          <w:b w:val="0"/>
          <w:sz w:val="24"/>
          <w:szCs w:val="24"/>
        </w:rPr>
      </w:pPr>
      <w:r w:rsidDel="00000000" w:rsidR="00000000" w:rsidRPr="00000000">
        <w:rPr>
          <w:vertAlign w:val="baseline"/>
          <w:rtl w:val="0"/>
        </w:rPr>
        <w:t xml:space="preserve">Asciende un grupo el segundo jugador del grupo</w:t>
      </w:r>
      <w:r w:rsidDel="00000000" w:rsidR="00000000" w:rsidRPr="00000000">
        <w:rPr>
          <w:rtl w:val="0"/>
        </w:rPr>
      </w:r>
    </w:p>
    <w:p w:rsidR="00000000" w:rsidDel="00000000" w:rsidP="00000000" w:rsidRDefault="00000000" w:rsidRPr="00000000">
      <w:pPr>
        <w:numPr>
          <w:ilvl w:val="0"/>
          <w:numId w:val="1"/>
        </w:numPr>
        <w:ind w:left="780" w:hanging="360"/>
        <w:rPr>
          <w:b w:val="0"/>
          <w:sz w:val="24"/>
          <w:szCs w:val="24"/>
        </w:rPr>
      </w:pPr>
      <w:r w:rsidDel="00000000" w:rsidR="00000000" w:rsidRPr="00000000">
        <w:rPr>
          <w:vertAlign w:val="baseline"/>
          <w:rtl w:val="0"/>
        </w:rPr>
        <w:t xml:space="preserve">Desciende dos grupos el que menos puntos obtenga. </w:t>
      </w:r>
      <w:r w:rsidDel="00000000" w:rsidR="00000000" w:rsidRPr="00000000">
        <w:rPr>
          <w:rtl w:val="0"/>
        </w:rPr>
      </w:r>
    </w:p>
    <w:p w:rsidR="00000000" w:rsidDel="00000000" w:rsidP="00000000" w:rsidRDefault="00000000" w:rsidRPr="00000000">
      <w:pPr>
        <w:numPr>
          <w:ilvl w:val="0"/>
          <w:numId w:val="1"/>
        </w:numPr>
        <w:ind w:left="780" w:hanging="360"/>
        <w:rPr>
          <w:b w:val="0"/>
          <w:sz w:val="24"/>
          <w:szCs w:val="24"/>
        </w:rPr>
      </w:pPr>
      <w:r w:rsidDel="00000000" w:rsidR="00000000" w:rsidRPr="00000000">
        <w:rPr>
          <w:vertAlign w:val="baseline"/>
          <w:rtl w:val="0"/>
        </w:rPr>
        <w:t xml:space="preserve">El segundo jugador que menos puntos obtenga descenderá un grupo.</w:t>
      </w:r>
      <w:r w:rsidDel="00000000" w:rsidR="00000000" w:rsidRPr="00000000">
        <w:rPr>
          <w:rtl w:val="0"/>
        </w:rPr>
      </w:r>
    </w:p>
    <w:p w:rsidR="00000000" w:rsidDel="00000000" w:rsidP="00000000" w:rsidRDefault="00000000" w:rsidRPr="00000000">
      <w:pPr>
        <w:numPr>
          <w:ilvl w:val="0"/>
          <w:numId w:val="1"/>
        </w:numPr>
        <w:ind w:left="780" w:hanging="360"/>
        <w:rPr>
          <w:b w:val="0"/>
          <w:sz w:val="24"/>
          <w:szCs w:val="24"/>
        </w:rPr>
      </w:pPr>
      <w:r w:rsidDel="00000000" w:rsidR="00000000" w:rsidRPr="00000000">
        <w:rPr>
          <w:vertAlign w:val="baseline"/>
          <w:rtl w:val="0"/>
        </w:rPr>
        <w:t xml:space="preserve">En caso de empate de puntos se tendrá en cuenta primero el número de partidos jugados, si persiste el empate, los set ganados, si persiste el empate  los juegos ganados y si persiste el empate, se disputaría un partido de desempate o un sorteo si  prefieren los jugadores.</w:t>
      </w:r>
      <w:r w:rsidDel="00000000" w:rsidR="00000000" w:rsidRPr="00000000">
        <w:rPr>
          <w:rtl w:val="0"/>
        </w:rPr>
      </w:r>
    </w:p>
    <w:p w:rsidR="00000000" w:rsidDel="00000000" w:rsidP="00000000" w:rsidRDefault="00000000" w:rsidRPr="00000000">
      <w:pPr>
        <w:numPr>
          <w:ilvl w:val="0"/>
          <w:numId w:val="1"/>
        </w:numPr>
        <w:ind w:left="780" w:hanging="360"/>
        <w:rPr>
          <w:b w:val="0"/>
          <w:sz w:val="24"/>
          <w:szCs w:val="24"/>
        </w:rPr>
      </w:pPr>
      <w:r w:rsidDel="00000000" w:rsidR="00000000" w:rsidRPr="00000000">
        <w:rPr>
          <w:vertAlign w:val="baseline"/>
          <w:rtl w:val="0"/>
        </w:rPr>
        <w:t xml:space="preserve">Los nuevos inscritos empezarán en el último grupo al empezar una nueva fase.</w:t>
      </w:r>
      <w:r w:rsidDel="00000000" w:rsidR="00000000" w:rsidRPr="00000000">
        <w:rPr>
          <w:rtl w:val="0"/>
        </w:rPr>
      </w:r>
    </w:p>
    <w:p w:rsidR="00000000" w:rsidDel="00000000" w:rsidP="00000000" w:rsidRDefault="00000000" w:rsidRPr="00000000">
      <w:pPr>
        <w:numPr>
          <w:ilvl w:val="0"/>
          <w:numId w:val="1"/>
        </w:numPr>
        <w:ind w:left="780" w:hanging="360"/>
        <w:rPr>
          <w:b w:val="0"/>
          <w:sz w:val="24"/>
          <w:szCs w:val="24"/>
        </w:rPr>
      </w:pPr>
      <w:r w:rsidDel="00000000" w:rsidR="00000000" w:rsidRPr="00000000">
        <w:rPr>
          <w:vertAlign w:val="baseline"/>
          <w:rtl w:val="0"/>
        </w:rPr>
        <w:t xml:space="preserve">La organización se reserva el derecho hacer cualquier modificación en las normas y en la clasificación, siempre que lo considere necesario.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Los partidos se podrán jugar en cualquier campo, siempre que estén de acuerdo los dos jugadores. Para ello la organización creará grupos de Wasap de cada grupo, para que los jugadores puedan planificar sus partidos.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 Si se tuviese  que abonar por utilizar una pista, lo harán en partes iguales entre los dos jugadores.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Los partidos se jugarán siguiendo las normas de RFET. A tres sets, con súper Tie-Break (10 puntos) en el tercero.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El ganador del partido será el encargado de colgar el resultado en  </w:t>
      </w:r>
      <w:hyperlink r:id="rId6">
        <w:r w:rsidDel="00000000" w:rsidR="00000000" w:rsidRPr="00000000">
          <w:rPr>
            <w:color w:val="0000ff"/>
            <w:u w:val="single"/>
            <w:vertAlign w:val="baseline"/>
            <w:rtl w:val="0"/>
          </w:rPr>
          <w:t xml:space="preserve">www.ibertenis.com</w:t>
        </w:r>
      </w:hyperlink>
      <w:hyperlink r:id="rId7">
        <w:r w:rsidDel="00000000" w:rsidR="00000000" w:rsidRPr="00000000">
          <w:rPr>
            <w:rtl w:val="0"/>
          </w:rPr>
        </w:r>
      </w:hyperlink>
    </w:p>
    <w:p w:rsidR="00000000" w:rsidDel="00000000" w:rsidP="00000000" w:rsidRDefault="00000000" w:rsidRPr="00000000">
      <w:pPr>
        <w:contextualSpacing w:val="0"/>
      </w:pPr>
      <w:hyperlink r:id="rId8">
        <w:r w:rsidDel="00000000" w:rsidR="00000000" w:rsidRPr="00000000">
          <w:rPr>
            <w:rtl w:val="0"/>
          </w:rPr>
        </w:r>
      </w:hyperlink>
    </w:p>
    <w:sectPr>
      <w:headerReference r:id="rId9" w:type="default"/>
      <w:footerReference r:id="rId10" w:type="default"/>
      <w:pgSz w:h="16838" w:w="11906"/>
      <w:pgMar w:bottom="1417" w:top="540"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Tahoma">
    <w:embedRegular r:id="rId1" w:subsetted="0"/>
    <w:embedBold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708"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drawing>
        <wp:inline distB="0" distT="0" distL="114300" distR="114300">
          <wp:extent cx="2973705" cy="522605"/>
          <wp:effectExtent b="0" l="0" r="0" t="0"/>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2973705" cy="52260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0" w:before="708" w:line="240" w:lineRule="auto"/>
      <w:contextualSpacing w:val="0"/>
      <w:jc w:val="center"/>
    </w:pPr>
    <w:r w:rsidDel="00000000" w:rsidR="00000000" w:rsidRPr="00000000">
      <w:drawing>
        <wp:inline distB="0" distT="0" distL="114300" distR="114300">
          <wp:extent cx="1833880" cy="1833245"/>
          <wp:effectExtent b="0" l="0" r="0" t="0"/>
          <wp:docPr id="1" name="image02.jpg"/>
          <a:graphic>
            <a:graphicData uri="http://schemas.openxmlformats.org/drawingml/2006/picture">
              <pic:pic>
                <pic:nvPicPr>
                  <pic:cNvPr id="0" name="image02.jpg"/>
                  <pic:cNvPicPr preferRelativeResize="0"/>
                </pic:nvPicPr>
                <pic:blipFill>
                  <a:blip r:embed="rId1"/>
                  <a:srcRect b="0" l="0" r="0" t="0"/>
                  <a:stretch>
                    <a:fillRect/>
                  </a:stretch>
                </pic:blipFill>
                <pic:spPr>
                  <a:xfrm>
                    <a:off x="0" y="0"/>
                    <a:ext cx="1833880" cy="1833245"/>
                  </a:xfrm>
                  <a:prstGeom prst="rect"/>
                  <a:ln/>
                </pic:spPr>
              </pic:pic>
            </a:graphicData>
          </a:graphic>
        </wp:inline>
      </w:drawing>
    </w:r>
    <w:hyperlink r:id="rId2">
      <w:r w:rsidDel="00000000" w:rsidR="00000000" w:rsidRPr="00000000">
        <w:rPr>
          <w:rtl w:val="0"/>
        </w:rPr>
      </w:r>
    </w:hyperlink>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80" w:firstLine="420"/>
      </w:pPr>
      <w:rPr>
        <w:rFonts w:ascii="Arial" w:cs="Arial" w:eastAsia="Arial" w:hAnsi="Arial"/>
        <w:vertAlign w:val="baseline"/>
      </w:rPr>
    </w:lvl>
    <w:lvl w:ilvl="1">
      <w:start w:val="1"/>
      <w:numFmt w:val="bullet"/>
      <w:lvlText w:val="o"/>
      <w:lvlJc w:val="left"/>
      <w:pPr>
        <w:ind w:left="1500" w:firstLine="1140"/>
      </w:pPr>
      <w:rPr>
        <w:rFonts w:ascii="Arial" w:cs="Arial" w:eastAsia="Arial" w:hAnsi="Arial"/>
        <w:vertAlign w:val="baseline"/>
      </w:rPr>
    </w:lvl>
    <w:lvl w:ilvl="2">
      <w:start w:val="1"/>
      <w:numFmt w:val="bullet"/>
      <w:lvlText w:val="▪"/>
      <w:lvlJc w:val="left"/>
      <w:pPr>
        <w:ind w:left="2220" w:firstLine="1860"/>
      </w:pPr>
      <w:rPr>
        <w:rFonts w:ascii="Arial" w:cs="Arial" w:eastAsia="Arial" w:hAnsi="Arial"/>
        <w:vertAlign w:val="baseline"/>
      </w:rPr>
    </w:lvl>
    <w:lvl w:ilvl="3">
      <w:start w:val="1"/>
      <w:numFmt w:val="bullet"/>
      <w:lvlText w:val="●"/>
      <w:lvlJc w:val="left"/>
      <w:pPr>
        <w:ind w:left="2940" w:firstLine="2580"/>
      </w:pPr>
      <w:rPr>
        <w:rFonts w:ascii="Arial" w:cs="Arial" w:eastAsia="Arial" w:hAnsi="Arial"/>
        <w:vertAlign w:val="baseline"/>
      </w:rPr>
    </w:lvl>
    <w:lvl w:ilvl="4">
      <w:start w:val="1"/>
      <w:numFmt w:val="bullet"/>
      <w:lvlText w:val="o"/>
      <w:lvlJc w:val="left"/>
      <w:pPr>
        <w:ind w:left="3660" w:firstLine="3300"/>
      </w:pPr>
      <w:rPr>
        <w:rFonts w:ascii="Arial" w:cs="Arial" w:eastAsia="Arial" w:hAnsi="Arial"/>
        <w:vertAlign w:val="baseline"/>
      </w:rPr>
    </w:lvl>
    <w:lvl w:ilvl="5">
      <w:start w:val="1"/>
      <w:numFmt w:val="bullet"/>
      <w:lvlText w:val="▪"/>
      <w:lvlJc w:val="left"/>
      <w:pPr>
        <w:ind w:left="4380" w:firstLine="4020"/>
      </w:pPr>
      <w:rPr>
        <w:rFonts w:ascii="Arial" w:cs="Arial" w:eastAsia="Arial" w:hAnsi="Arial"/>
        <w:vertAlign w:val="baseline"/>
      </w:rPr>
    </w:lvl>
    <w:lvl w:ilvl="6">
      <w:start w:val="1"/>
      <w:numFmt w:val="bullet"/>
      <w:lvlText w:val="●"/>
      <w:lvlJc w:val="left"/>
      <w:pPr>
        <w:ind w:left="5100" w:firstLine="4740"/>
      </w:pPr>
      <w:rPr>
        <w:rFonts w:ascii="Arial" w:cs="Arial" w:eastAsia="Arial" w:hAnsi="Arial"/>
        <w:vertAlign w:val="baseline"/>
      </w:rPr>
    </w:lvl>
    <w:lvl w:ilvl="7">
      <w:start w:val="1"/>
      <w:numFmt w:val="bullet"/>
      <w:lvlText w:val="o"/>
      <w:lvlJc w:val="left"/>
      <w:pPr>
        <w:ind w:left="5820" w:firstLine="5460"/>
      </w:pPr>
      <w:rPr>
        <w:rFonts w:ascii="Arial" w:cs="Arial" w:eastAsia="Arial" w:hAnsi="Arial"/>
        <w:vertAlign w:val="baseline"/>
      </w:rPr>
    </w:lvl>
    <w:lvl w:ilvl="8">
      <w:start w:val="1"/>
      <w:numFmt w:val="bullet"/>
      <w:lvlText w:val="▪"/>
      <w:lvlJc w:val="left"/>
      <w:pPr>
        <w:ind w:left="6540" w:firstLine="618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hyperlink" Target="http://www.ibertenis.com" TargetMode="External"/><Relationship Id="rId6" Type="http://schemas.openxmlformats.org/officeDocument/2006/relationships/hyperlink" Target="http://www.ibertenis.com" TargetMode="External"/><Relationship Id="rId7" Type="http://schemas.openxmlformats.org/officeDocument/2006/relationships/hyperlink" Target="http://www.ibertenis.com" TargetMode="External"/><Relationship Id="rId8" Type="http://schemas.openxmlformats.org/officeDocument/2006/relationships/hyperlink" Target="http://www.iberteni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image" Target="media/image03.png"/></Relationships>
</file>

<file path=word/_rels/header1.xml.rels><?xml version="1.0" encoding="UTF-8" standalone="yes"?><Relationships xmlns="http://schemas.openxmlformats.org/package/2006/relationships"><Relationship Id="rId1" Type="http://schemas.openxmlformats.org/officeDocument/2006/relationships/image" Target="media/image02.jpg"/><Relationship Id="rId2" Type="http://schemas.openxmlformats.org/officeDocument/2006/relationships/hyperlink" Target="http://www.ibertenis.com" TargetMode="External"/></Relationships>
</file>